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20" w:rsidRPr="00B46E20" w:rsidRDefault="00B46E20" w:rsidP="00061627">
      <w:pPr>
        <w:rPr>
          <w:rFonts w:ascii="Garamond" w:eastAsia="Calibri" w:hAnsi="Garamond"/>
          <w:i/>
        </w:rPr>
      </w:pPr>
      <w:r w:rsidRPr="00B46E20">
        <w:rPr>
          <w:rFonts w:ascii="Garamond" w:eastAsia="Calibri" w:hAnsi="Garamond"/>
          <w:i/>
        </w:rPr>
        <w:t>Abstract</w:t>
      </w:r>
    </w:p>
    <w:p w:rsidR="001E40B1" w:rsidRDefault="001E40B1" w:rsidP="00061627">
      <w:pPr>
        <w:rPr>
          <w:rFonts w:ascii="Garamond" w:eastAsia="Calibri" w:hAnsi="Garamond"/>
        </w:rPr>
      </w:pPr>
    </w:p>
    <w:p w:rsidR="00061627" w:rsidRPr="00AE1D69" w:rsidRDefault="00061627" w:rsidP="00061627">
      <w:pPr>
        <w:rPr>
          <w:rFonts w:ascii="Garamond" w:eastAsia="Calibri" w:hAnsi="Garamond"/>
        </w:rPr>
      </w:pPr>
      <w:r w:rsidRPr="00AE1D69">
        <w:rPr>
          <w:rFonts w:ascii="Garamond" w:eastAsia="Calibri" w:hAnsi="Garamond"/>
        </w:rPr>
        <w:t>Il problema dell’inefficienza del sistema giudiziario è un problema molto attuale in Italia.</w:t>
      </w:r>
    </w:p>
    <w:p w:rsidR="00061627" w:rsidRPr="00AE1D69" w:rsidRDefault="00061627" w:rsidP="00061627">
      <w:pPr>
        <w:rPr>
          <w:rFonts w:ascii="Garamond" w:eastAsia="Calibri" w:hAnsi="Garamond"/>
        </w:rPr>
      </w:pPr>
      <w:r w:rsidRPr="00AE1D69">
        <w:rPr>
          <w:rFonts w:ascii="Garamond" w:eastAsia="Calibri" w:hAnsi="Garamond"/>
        </w:rPr>
        <w:t>In Italia la durata media di un processo è notevolmente su</w:t>
      </w:r>
      <w:r w:rsidR="00AE1D69">
        <w:rPr>
          <w:rFonts w:ascii="Garamond" w:eastAsia="Calibri" w:hAnsi="Garamond"/>
        </w:rPr>
        <w:t>periore a quella dei paesi Ocse.</w:t>
      </w:r>
      <w:r w:rsidRPr="00AE1D69">
        <w:rPr>
          <w:rFonts w:ascii="Garamond" w:eastAsia="Calibri" w:hAnsi="Garamond"/>
        </w:rPr>
        <w:t xml:space="preserve"> L’eccessiva durata dei giudizi ha fatto si che il costo sostenuto dallo stato italiano per il risarcimento del danno patrimoniale per l’irragionevole durata del processo assumesse dimensioni allarmanti. </w:t>
      </w:r>
    </w:p>
    <w:p w:rsidR="00061627" w:rsidRPr="00AE1D69" w:rsidRDefault="00061627" w:rsidP="00061627">
      <w:pPr>
        <w:rPr>
          <w:rFonts w:ascii="Garamond" w:eastAsia="Calibri" w:hAnsi="Garamond"/>
        </w:rPr>
      </w:pPr>
      <w:r w:rsidRPr="00AE1D69">
        <w:rPr>
          <w:rFonts w:ascii="Garamond" w:eastAsia="Calibri" w:hAnsi="Garamond"/>
        </w:rPr>
        <w:t>Il sistema giudiziario i</w:t>
      </w:r>
      <w:r w:rsidR="00AE1D69">
        <w:rPr>
          <w:rFonts w:ascii="Garamond" w:eastAsia="Calibri" w:hAnsi="Garamond"/>
        </w:rPr>
        <w:t xml:space="preserve">taliano si caratterizza </w:t>
      </w:r>
      <w:r w:rsidRPr="00AE1D69">
        <w:rPr>
          <w:rFonts w:ascii="Garamond" w:eastAsia="Calibri" w:hAnsi="Garamond"/>
        </w:rPr>
        <w:t>rispe</w:t>
      </w:r>
      <w:r w:rsidR="00AE1D69">
        <w:rPr>
          <w:rFonts w:ascii="Garamond" w:eastAsia="Calibri" w:hAnsi="Garamond"/>
        </w:rPr>
        <w:t>tto ai principali paesi europei</w:t>
      </w:r>
      <w:r w:rsidRPr="00AE1D69">
        <w:rPr>
          <w:rFonts w:ascii="Garamond" w:eastAsia="Calibri" w:hAnsi="Garamond"/>
        </w:rPr>
        <w:t xml:space="preserve"> per </w:t>
      </w:r>
      <w:r w:rsidRPr="00AE1D69">
        <w:rPr>
          <w:rFonts w:ascii="Garamond" w:eastAsia="Calibri" w:hAnsi="Garamond"/>
        </w:rPr>
        <w:t xml:space="preserve">l’elevata litigiosità e per </w:t>
      </w:r>
      <w:r w:rsidRPr="00AE1D69">
        <w:rPr>
          <w:rFonts w:ascii="Garamond" w:eastAsia="Calibri" w:hAnsi="Garamond"/>
        </w:rPr>
        <w:t>l’elevato numero di avvocati operanti nel settore dei servizi le</w:t>
      </w:r>
      <w:r w:rsidRPr="00AE1D69">
        <w:rPr>
          <w:rFonts w:ascii="Garamond" w:eastAsia="Calibri" w:hAnsi="Garamond"/>
        </w:rPr>
        <w:t xml:space="preserve">gali rispetto alla popolazione. </w:t>
      </w:r>
    </w:p>
    <w:p w:rsidR="00AE1D69" w:rsidRDefault="00061627" w:rsidP="00061627">
      <w:pPr>
        <w:rPr>
          <w:rFonts w:ascii="Garamond" w:hAnsi="Garamond"/>
        </w:rPr>
      </w:pPr>
      <w:r w:rsidRPr="00AE1D69">
        <w:rPr>
          <w:rFonts w:ascii="Garamond" w:hAnsi="Garamond"/>
        </w:rPr>
        <w:t xml:space="preserve">Lo studio proposto, dopo aver analizzato la principale letteratura avente ad oggetto l’analisi comparativa dei sistemi giudiziari di </w:t>
      </w:r>
      <w:r w:rsidR="00AE1D69">
        <w:rPr>
          <w:rFonts w:ascii="Garamond" w:hAnsi="Garamond"/>
        </w:rPr>
        <w:t xml:space="preserve">diversi paesi e </w:t>
      </w:r>
      <w:r w:rsidR="00470EF0">
        <w:rPr>
          <w:rFonts w:ascii="Garamond" w:eastAsia="Calibri" w:hAnsi="Garamond"/>
        </w:rPr>
        <w:t xml:space="preserve">l’analisi di </w:t>
      </w:r>
      <w:r w:rsidR="00AE1D69">
        <w:rPr>
          <w:rFonts w:ascii="Garamond" w:eastAsia="Calibri" w:hAnsi="Garamond"/>
        </w:rPr>
        <w:t>efficienza del sistema giudiziario di singoli paesi</w:t>
      </w:r>
      <w:r w:rsidRPr="00AE1D69">
        <w:rPr>
          <w:rFonts w:ascii="Garamond" w:hAnsi="Garamond"/>
        </w:rPr>
        <w:t>, si pone l’</w:t>
      </w:r>
      <w:r w:rsidR="00AE1D69" w:rsidRPr="00AE1D69">
        <w:rPr>
          <w:rFonts w:ascii="Garamond" w:hAnsi="Garamond"/>
        </w:rPr>
        <w:t>obiettivo di misurare</w:t>
      </w:r>
      <w:r w:rsidRPr="00AE1D69">
        <w:rPr>
          <w:rFonts w:ascii="Garamond" w:hAnsi="Garamond"/>
        </w:rPr>
        <w:t xml:space="preserve"> l’efficienza </w:t>
      </w:r>
      <w:r w:rsidR="00145F03">
        <w:rPr>
          <w:rFonts w:ascii="Garamond" w:hAnsi="Garamond"/>
        </w:rPr>
        <w:t xml:space="preserve">dei 165 Tribunali Ordinari italiani, dal 2003 al 2012, </w:t>
      </w:r>
      <w:r w:rsidRPr="00AE1D69">
        <w:rPr>
          <w:rFonts w:ascii="Garamond" w:hAnsi="Garamond"/>
        </w:rPr>
        <w:t xml:space="preserve">e </w:t>
      </w:r>
      <w:r w:rsidR="00AE1D69" w:rsidRPr="00AE1D69">
        <w:rPr>
          <w:rFonts w:ascii="Garamond" w:hAnsi="Garamond"/>
        </w:rPr>
        <w:t>stimare un indice di variazione della produttività</w:t>
      </w:r>
      <w:r w:rsidR="00AE1D69">
        <w:rPr>
          <w:rFonts w:ascii="Garamond" w:hAnsi="Garamond"/>
        </w:rPr>
        <w:t>.</w:t>
      </w:r>
    </w:p>
    <w:p w:rsidR="00061627" w:rsidRPr="00AE1D69" w:rsidRDefault="00061627" w:rsidP="00061627">
      <w:pPr>
        <w:rPr>
          <w:rFonts w:ascii="Garamond" w:eastAsia="Calibri" w:hAnsi="Garamond"/>
        </w:rPr>
      </w:pPr>
      <w:r w:rsidRPr="00AE1D69">
        <w:rPr>
          <w:rFonts w:ascii="Garamond" w:eastAsia="Calibri" w:hAnsi="Garamond"/>
        </w:rPr>
        <w:t>Per la misura dell’efficienza sarà utilizzato un approccio non parametrico, riconducibile alla tecnica DEA (Data Envelopment Analysis). Con i risultati ottenuti, verrà creato un indice di Malmquist con l’obiettivo di valutare l’andamento della produttività e delle sue componenti.</w:t>
      </w:r>
    </w:p>
    <w:p w:rsidR="00AE1D69" w:rsidRDefault="00AE1D69" w:rsidP="00AE1D69">
      <w:pPr>
        <w:rPr>
          <w:rFonts w:ascii="Garamond" w:eastAsia="Calibri" w:hAnsi="Garamond"/>
        </w:rPr>
      </w:pPr>
      <w:r w:rsidRPr="00AE1D69">
        <w:rPr>
          <w:rFonts w:ascii="Garamond" w:eastAsia="Calibri" w:hAnsi="Garamond"/>
        </w:rPr>
        <w:t xml:space="preserve">Verrà, infine, testata la significatività di alcune variabili sulla determinazione delle variazioni di produttività delle unità decisionali osservate. </w:t>
      </w:r>
    </w:p>
    <w:p w:rsidR="00000000" w:rsidRPr="00861B4C" w:rsidRDefault="00861B4C" w:rsidP="00861B4C">
      <w:pPr>
        <w:rPr>
          <w:rFonts w:ascii="Garamond" w:eastAsia="Calibri" w:hAnsi="Garamond"/>
        </w:rPr>
      </w:pPr>
      <w:r>
        <w:rPr>
          <w:rFonts w:ascii="Garamond" w:eastAsia="Calibri" w:hAnsi="Garamond"/>
        </w:rPr>
        <w:t>Dai</w:t>
      </w:r>
      <w:r w:rsidR="00145F03">
        <w:rPr>
          <w:rFonts w:ascii="Garamond" w:eastAsia="Calibri" w:hAnsi="Garamond"/>
        </w:rPr>
        <w:t xml:space="preserve"> risultati ottenuti </w:t>
      </w:r>
      <w:r w:rsidR="00470EF0">
        <w:rPr>
          <w:rFonts w:ascii="Garamond" w:eastAsia="Calibri" w:hAnsi="Garamond"/>
        </w:rPr>
        <w:t>è emerso</w:t>
      </w:r>
      <w:r>
        <w:rPr>
          <w:rFonts w:ascii="Garamond" w:eastAsia="Calibri" w:hAnsi="Garamond"/>
        </w:rPr>
        <w:t xml:space="preserve"> che la maggior parte dei Tribunali O</w:t>
      </w:r>
      <w:r w:rsidR="00564A52" w:rsidRPr="00861B4C">
        <w:rPr>
          <w:rFonts w:ascii="Garamond" w:eastAsia="Calibri" w:hAnsi="Garamond"/>
        </w:rPr>
        <w:t xml:space="preserve">rdinari italiani, nel </w:t>
      </w:r>
      <w:r w:rsidR="00564A52" w:rsidRPr="00861B4C">
        <w:rPr>
          <w:rFonts w:ascii="Garamond" w:eastAsia="Calibri" w:hAnsi="Garamond"/>
        </w:rPr>
        <w:t>periodo 2003-2012, presenta rendimen</w:t>
      </w:r>
      <w:r>
        <w:rPr>
          <w:rFonts w:ascii="Garamond" w:eastAsia="Calibri" w:hAnsi="Garamond"/>
        </w:rPr>
        <w:t>ti scalari crescenti. Difatti, l</w:t>
      </w:r>
      <w:r w:rsidR="00564A52" w:rsidRPr="00861B4C">
        <w:rPr>
          <w:rFonts w:ascii="Garamond" w:eastAsia="Calibri" w:hAnsi="Garamond"/>
        </w:rPr>
        <w:t>a maggior parte delle osservazioni non sono lontane dalla frontiera di produzione. Tale risultato sembra suggerire che un accorpamento degli uffici giudiziari, potrebbe non produrre signif</w:t>
      </w:r>
      <w:r w:rsidR="00564A52" w:rsidRPr="00861B4C">
        <w:rPr>
          <w:rFonts w:ascii="Garamond" w:eastAsia="Calibri" w:hAnsi="Garamond"/>
        </w:rPr>
        <w:t>icativi guadagni di efficienza.</w:t>
      </w:r>
    </w:p>
    <w:p w:rsidR="00000000" w:rsidRPr="00145F03" w:rsidRDefault="00861B4C" w:rsidP="00145F03">
      <w:pPr>
        <w:rPr>
          <w:rFonts w:ascii="Garamond" w:eastAsia="Calibri" w:hAnsi="Garamond"/>
        </w:rPr>
      </w:pPr>
      <w:r>
        <w:rPr>
          <w:rFonts w:ascii="Garamond" w:eastAsia="Calibri" w:hAnsi="Garamond"/>
        </w:rPr>
        <w:t xml:space="preserve">L’analisi condotta </w:t>
      </w:r>
      <w:r w:rsidR="00AB52E6" w:rsidRPr="00AB52E6">
        <w:rPr>
          <w:rFonts w:ascii="Garamond" w:eastAsia="Calibri" w:hAnsi="Garamond"/>
        </w:rPr>
        <w:t>ha</w:t>
      </w:r>
      <w:r>
        <w:rPr>
          <w:rFonts w:ascii="Garamond" w:eastAsia="Calibri" w:hAnsi="Garamond"/>
        </w:rPr>
        <w:t>, altresì,</w:t>
      </w:r>
      <w:r w:rsidR="00625A98">
        <w:rPr>
          <w:rFonts w:ascii="Garamond" w:eastAsia="Calibri" w:hAnsi="Garamond"/>
        </w:rPr>
        <w:t xml:space="preserve"> confermato</w:t>
      </w:r>
      <w:r w:rsidR="00AB52E6" w:rsidRPr="00AB52E6">
        <w:rPr>
          <w:rFonts w:ascii="Garamond" w:eastAsia="Calibri" w:hAnsi="Garamond"/>
        </w:rPr>
        <w:t xml:space="preserve"> </w:t>
      </w:r>
      <w:r w:rsidR="00145F03">
        <w:rPr>
          <w:rFonts w:ascii="Garamond" w:eastAsia="Calibri" w:hAnsi="Garamond"/>
        </w:rPr>
        <w:t xml:space="preserve">l’esistenza di </w:t>
      </w:r>
      <w:r w:rsidR="00AB52E6" w:rsidRPr="00AB52E6">
        <w:rPr>
          <w:rFonts w:ascii="Garamond" w:eastAsia="Calibri" w:hAnsi="Garamond"/>
        </w:rPr>
        <w:t xml:space="preserve">una </w:t>
      </w:r>
      <w:r w:rsidR="00145F03">
        <w:rPr>
          <w:rFonts w:ascii="Garamond" w:eastAsia="Calibri" w:hAnsi="Garamond"/>
        </w:rPr>
        <w:t>relazione significativa</w:t>
      </w:r>
      <w:r w:rsidR="00AB52E6" w:rsidRPr="00AB52E6">
        <w:rPr>
          <w:rFonts w:ascii="Garamond" w:eastAsia="Calibri" w:hAnsi="Garamond"/>
        </w:rPr>
        <w:t xml:space="preserve"> tra variazione della produttività e </w:t>
      </w:r>
      <w:r w:rsidR="00470EF0">
        <w:rPr>
          <w:rFonts w:ascii="Garamond" w:eastAsia="Calibri" w:hAnsi="Garamond"/>
        </w:rPr>
        <w:t xml:space="preserve">la </w:t>
      </w:r>
      <w:r w:rsidR="00AB52E6" w:rsidRPr="00AB52E6">
        <w:rPr>
          <w:rFonts w:ascii="Garamond" w:eastAsia="Calibri" w:hAnsi="Garamond"/>
        </w:rPr>
        <w:t>popolazione</w:t>
      </w:r>
      <w:r w:rsidR="00625A98">
        <w:rPr>
          <w:rFonts w:ascii="Garamond" w:eastAsia="Calibri" w:hAnsi="Garamond"/>
        </w:rPr>
        <w:t xml:space="preserve">, nonché di </w:t>
      </w:r>
      <w:r w:rsidR="00145F03">
        <w:rPr>
          <w:rFonts w:ascii="Garamond" w:eastAsia="Calibri" w:hAnsi="Garamond"/>
        </w:rPr>
        <w:t>una relazione</w:t>
      </w:r>
      <w:r w:rsidR="00AB52E6" w:rsidRPr="00AB52E6">
        <w:rPr>
          <w:rFonts w:ascii="Garamond" w:eastAsia="Calibri" w:hAnsi="Garamond"/>
        </w:rPr>
        <w:t xml:space="preserve"> positiva tra variazioni della produttività (e sue componenti) da un lato, e litigiosità e numero degli avvocati</w:t>
      </w:r>
      <w:r w:rsidR="00625A98">
        <w:rPr>
          <w:rFonts w:ascii="Garamond" w:eastAsia="Calibri" w:hAnsi="Garamond"/>
        </w:rPr>
        <w:t xml:space="preserve"> dall’altro</w:t>
      </w:r>
      <w:r w:rsidR="00AB52E6" w:rsidRPr="00AB52E6">
        <w:rPr>
          <w:rFonts w:ascii="Garamond" w:eastAsia="Calibri" w:hAnsi="Garamond"/>
        </w:rPr>
        <w:t xml:space="preserve">. In particolare, con riferimento al numero di avvocati per giudice, </w:t>
      </w:r>
      <w:r w:rsidR="00AB52E6" w:rsidRPr="00AB52E6">
        <w:rPr>
          <w:rFonts w:ascii="Garamond" w:eastAsia="Calibri" w:hAnsi="Garamond"/>
        </w:rPr>
        <w:lastRenderedPageBreak/>
        <w:t>valori più alti di questa variabile o della litigiosità influenzano positivamente l’efficienza tecnica e l’efficienza di scala, ma negativamente il progresso tecnico. L’effetto netto totale sulle variazioni di produttività è comunque positivo</w:t>
      </w:r>
      <w:r w:rsidR="00145F03">
        <w:rPr>
          <w:rFonts w:ascii="Garamond" w:eastAsia="Calibri" w:hAnsi="Garamond"/>
        </w:rPr>
        <w:t xml:space="preserve">. </w:t>
      </w:r>
      <w:r w:rsidR="00564A52" w:rsidRPr="00145F03">
        <w:rPr>
          <w:rFonts w:ascii="Garamond" w:eastAsia="Calibri" w:hAnsi="Garamond"/>
        </w:rPr>
        <w:t>Sebbene questi risultati siano certamente da approfondire, da essi emerge che il numero di avvocati ha un effetto positivo su concorrenza ed efficienza della giustizia, qualora vi siano mar</w:t>
      </w:r>
      <w:r w:rsidR="00564A52" w:rsidRPr="00145F03">
        <w:rPr>
          <w:rFonts w:ascii="Garamond" w:eastAsia="Calibri" w:hAnsi="Garamond"/>
        </w:rPr>
        <w:t>gini di miglioramento</w:t>
      </w:r>
      <w:r w:rsidR="00625A98">
        <w:rPr>
          <w:rFonts w:ascii="Garamond" w:eastAsia="Calibri" w:hAnsi="Garamond"/>
        </w:rPr>
        <w:t xml:space="preserve"> organizzativo e gestionale. Se, invece, </w:t>
      </w:r>
      <w:r w:rsidR="00564A52" w:rsidRPr="00145F03">
        <w:rPr>
          <w:rFonts w:ascii="Garamond" w:eastAsia="Calibri" w:hAnsi="Garamond"/>
        </w:rPr>
        <w:t xml:space="preserve">si tratta di spostare verso l’esterno la frontiera di produzione, l’effetto del numero di avvocati è negativo, per via probabilmente del prevalere di pratiche procedurali improntate al </w:t>
      </w:r>
      <w:r w:rsidR="00564A52" w:rsidRPr="00145F03">
        <w:rPr>
          <w:rFonts w:ascii="Garamond" w:eastAsia="Calibri" w:hAnsi="Garamond"/>
          <w:i/>
          <w:iCs/>
        </w:rPr>
        <w:t>rent-seeking</w:t>
      </w:r>
      <w:r w:rsidR="00564A52" w:rsidRPr="00145F03">
        <w:rPr>
          <w:rFonts w:ascii="Garamond" w:eastAsia="Calibri" w:hAnsi="Garamond"/>
        </w:rPr>
        <w:t>.</w:t>
      </w:r>
    </w:p>
    <w:p w:rsidR="00AB52E6" w:rsidRPr="00AE1D69" w:rsidRDefault="00AB52E6" w:rsidP="00AB52E6">
      <w:pPr>
        <w:rPr>
          <w:rFonts w:ascii="Garamond" w:eastAsia="Calibri" w:hAnsi="Garamond"/>
        </w:rPr>
      </w:pPr>
    </w:p>
    <w:p w:rsidR="00061627" w:rsidRPr="00AE1D69" w:rsidRDefault="00061627" w:rsidP="00061627">
      <w:pPr>
        <w:rPr>
          <w:rFonts w:ascii="Garamond" w:eastAsia="Calibri" w:hAnsi="Garamond"/>
        </w:rPr>
      </w:pPr>
    </w:p>
    <w:p w:rsidR="00061627" w:rsidRDefault="00061627"/>
    <w:p w:rsidR="00061627" w:rsidRDefault="00061627"/>
    <w:p w:rsidR="00061627" w:rsidRDefault="00061627"/>
    <w:p w:rsidR="001A0645" w:rsidRDefault="001A0645"/>
    <w:p w:rsidR="001A0645" w:rsidRDefault="001A0645"/>
    <w:p w:rsidR="001A0645" w:rsidRDefault="001A0645"/>
    <w:p w:rsidR="001A0645" w:rsidRDefault="001A0645"/>
    <w:p w:rsidR="001A0645" w:rsidRDefault="001A0645"/>
    <w:p w:rsidR="001A0645" w:rsidRDefault="001A0645"/>
    <w:p w:rsidR="001A0645" w:rsidRDefault="001A0645"/>
    <w:p w:rsidR="001A0645" w:rsidRDefault="001A0645"/>
    <w:p w:rsidR="001A0645" w:rsidRDefault="001A0645"/>
    <w:p w:rsidR="001A0645" w:rsidRDefault="001A0645"/>
    <w:p w:rsidR="001A0645" w:rsidRDefault="001A0645"/>
    <w:p w:rsidR="001A0645" w:rsidRDefault="001A0645"/>
    <w:p w:rsidR="001A0645" w:rsidRDefault="001A0645"/>
    <w:p w:rsidR="001A0645" w:rsidRDefault="001A0645"/>
    <w:p w:rsidR="001A0645" w:rsidRDefault="001A0645"/>
    <w:p w:rsidR="001A0645" w:rsidRDefault="001A0645"/>
    <w:p w:rsidR="001A0645" w:rsidRDefault="001A0645"/>
    <w:p w:rsidR="001A0645" w:rsidRPr="00A33FCC" w:rsidRDefault="001A0645" w:rsidP="001A0645">
      <w:pPr>
        <w:rPr>
          <w:rFonts w:ascii="Garamond" w:hAnsi="Garamond"/>
          <w:i/>
          <w:lang w:val="en-US"/>
        </w:rPr>
      </w:pPr>
      <w:bookmarkStart w:id="0" w:name="_GoBack"/>
      <w:r w:rsidRPr="00A33FCC">
        <w:rPr>
          <w:rFonts w:ascii="Garamond" w:hAnsi="Garamond"/>
          <w:i/>
          <w:lang w:val="en-US"/>
        </w:rPr>
        <w:lastRenderedPageBreak/>
        <w:t>Abstract</w:t>
      </w:r>
    </w:p>
    <w:p w:rsidR="001A0645" w:rsidRPr="00A33FCC" w:rsidRDefault="001A0645" w:rsidP="001A0645">
      <w:pPr>
        <w:rPr>
          <w:rFonts w:ascii="Garamond" w:hAnsi="Garamond"/>
          <w:lang w:val="en-US"/>
        </w:rPr>
      </w:pPr>
    </w:p>
    <w:p w:rsidR="001A0645" w:rsidRPr="00A33FCC" w:rsidRDefault="001A0645" w:rsidP="001A0645">
      <w:pPr>
        <w:rPr>
          <w:rFonts w:ascii="Garamond" w:hAnsi="Garamond"/>
          <w:lang w:val="en-US"/>
        </w:rPr>
      </w:pPr>
      <w:r w:rsidRPr="00A33FCC">
        <w:rPr>
          <w:rFonts w:ascii="Garamond" w:hAnsi="Garamond"/>
          <w:lang w:val="en-US"/>
        </w:rPr>
        <w:t>The problem of the inefficiency of the judicial system is a very present in Italy.</w:t>
      </w:r>
    </w:p>
    <w:p w:rsidR="001A0645" w:rsidRPr="00A33FCC" w:rsidRDefault="001A0645" w:rsidP="001A0645">
      <w:pPr>
        <w:rPr>
          <w:rFonts w:ascii="Garamond" w:hAnsi="Garamond"/>
          <w:lang w:val="en-US"/>
        </w:rPr>
      </w:pPr>
      <w:r w:rsidRPr="00A33FCC">
        <w:rPr>
          <w:rFonts w:ascii="Garamond" w:hAnsi="Garamond"/>
          <w:lang w:val="en-US"/>
        </w:rPr>
        <w:t>In Italy the average duration of a process is significantly higher than that</w:t>
      </w:r>
      <w:r w:rsidR="0060045C" w:rsidRPr="00A33FCC">
        <w:rPr>
          <w:rFonts w:ascii="Garamond" w:hAnsi="Garamond"/>
          <w:lang w:val="en-US"/>
        </w:rPr>
        <w:t xml:space="preserve"> of the O</w:t>
      </w:r>
      <w:r w:rsidRPr="00A33FCC">
        <w:rPr>
          <w:rFonts w:ascii="Garamond" w:hAnsi="Garamond"/>
          <w:lang w:val="en-US"/>
        </w:rPr>
        <w:t>cs</w:t>
      </w:r>
      <w:r w:rsidR="0060045C" w:rsidRPr="00A33FCC">
        <w:rPr>
          <w:rFonts w:ascii="Garamond" w:hAnsi="Garamond"/>
          <w:lang w:val="en-US"/>
        </w:rPr>
        <w:t>e</w:t>
      </w:r>
      <w:r w:rsidRPr="00A33FCC">
        <w:rPr>
          <w:rFonts w:ascii="Garamond" w:hAnsi="Garamond"/>
          <w:lang w:val="en-US"/>
        </w:rPr>
        <w:t xml:space="preserve"> countries. The excessive length of judgments has meant that the cost incurred by the Italian government for compensation for financial loss for the unreas</w:t>
      </w:r>
      <w:r w:rsidR="00A778CF" w:rsidRPr="00A33FCC">
        <w:rPr>
          <w:rFonts w:ascii="Garamond" w:hAnsi="Garamond"/>
          <w:lang w:val="en-US"/>
        </w:rPr>
        <w:t xml:space="preserve">onable length of the process has </w:t>
      </w:r>
      <w:r w:rsidRPr="00A33FCC">
        <w:rPr>
          <w:rFonts w:ascii="Garamond" w:hAnsi="Garamond"/>
          <w:lang w:val="en-US"/>
        </w:rPr>
        <w:t>assume</w:t>
      </w:r>
      <w:r w:rsidR="00A778CF" w:rsidRPr="00A33FCC">
        <w:rPr>
          <w:rFonts w:ascii="Garamond" w:hAnsi="Garamond"/>
          <w:lang w:val="en-US"/>
        </w:rPr>
        <w:t>d</w:t>
      </w:r>
      <w:r w:rsidRPr="00A33FCC">
        <w:rPr>
          <w:rFonts w:ascii="Garamond" w:hAnsi="Garamond"/>
          <w:lang w:val="en-US"/>
        </w:rPr>
        <w:t xml:space="preserve"> alarming proportions.</w:t>
      </w:r>
    </w:p>
    <w:p w:rsidR="001A0645" w:rsidRPr="00A33FCC" w:rsidRDefault="001A0645" w:rsidP="001A0645">
      <w:pPr>
        <w:rPr>
          <w:rFonts w:ascii="Garamond" w:hAnsi="Garamond"/>
          <w:lang w:val="en-US"/>
        </w:rPr>
      </w:pPr>
      <w:r w:rsidRPr="00A33FCC">
        <w:rPr>
          <w:rFonts w:ascii="Garamond" w:hAnsi="Garamond"/>
          <w:lang w:val="en-US"/>
        </w:rPr>
        <w:t xml:space="preserve">The Italian judicial system </w:t>
      </w:r>
      <w:r w:rsidRPr="00A33FCC">
        <w:rPr>
          <w:rFonts w:ascii="Garamond" w:hAnsi="Garamond"/>
          <w:lang w:val="en-US"/>
        </w:rPr>
        <w:t xml:space="preserve">is characterized, </w:t>
      </w:r>
      <w:r w:rsidRPr="00A33FCC">
        <w:rPr>
          <w:rFonts w:ascii="Garamond" w:hAnsi="Garamond"/>
          <w:lang w:val="en-US"/>
        </w:rPr>
        <w:t>respect to major European countries</w:t>
      </w:r>
      <w:r w:rsidRPr="00A33FCC">
        <w:rPr>
          <w:rFonts w:ascii="Garamond" w:hAnsi="Garamond"/>
          <w:lang w:val="en-US"/>
        </w:rPr>
        <w:t>,</w:t>
      </w:r>
      <w:r w:rsidRPr="00A33FCC">
        <w:rPr>
          <w:rFonts w:ascii="Garamond" w:hAnsi="Garamond"/>
          <w:lang w:val="en-US"/>
        </w:rPr>
        <w:t xml:space="preserve"> for the high litigation and </w:t>
      </w:r>
      <w:r w:rsidRPr="00A33FCC">
        <w:rPr>
          <w:rFonts w:ascii="Garamond" w:hAnsi="Garamond"/>
          <w:lang w:val="en-US"/>
        </w:rPr>
        <w:t xml:space="preserve">for </w:t>
      </w:r>
      <w:r w:rsidRPr="00A33FCC">
        <w:rPr>
          <w:rFonts w:ascii="Garamond" w:hAnsi="Garamond"/>
          <w:lang w:val="en-US"/>
        </w:rPr>
        <w:t xml:space="preserve">the high number of lawyers working in the field of legal services </w:t>
      </w:r>
      <w:r w:rsidR="00A778CF" w:rsidRPr="00A33FCC">
        <w:rPr>
          <w:rFonts w:ascii="Garamond" w:hAnsi="Garamond"/>
          <w:lang w:val="en-US"/>
        </w:rPr>
        <w:t xml:space="preserve">respect </w:t>
      </w:r>
      <w:r w:rsidRPr="00A33FCC">
        <w:rPr>
          <w:rFonts w:ascii="Garamond" w:hAnsi="Garamond"/>
          <w:lang w:val="en-US"/>
        </w:rPr>
        <w:t>to the population.</w:t>
      </w:r>
    </w:p>
    <w:p w:rsidR="001A0645" w:rsidRPr="00A33FCC" w:rsidRDefault="001A0645" w:rsidP="001A0645">
      <w:pPr>
        <w:rPr>
          <w:rFonts w:ascii="Garamond" w:hAnsi="Garamond"/>
          <w:lang w:val="en-US"/>
        </w:rPr>
      </w:pPr>
      <w:r w:rsidRPr="00A33FCC">
        <w:rPr>
          <w:rFonts w:ascii="Garamond" w:hAnsi="Garamond"/>
          <w:lang w:val="en-US"/>
        </w:rPr>
        <w:t>The proposed stu</w:t>
      </w:r>
      <w:r w:rsidR="00F64AF7" w:rsidRPr="00A33FCC">
        <w:rPr>
          <w:rFonts w:ascii="Garamond" w:hAnsi="Garamond"/>
          <w:lang w:val="en-US"/>
        </w:rPr>
        <w:t>dy, after analyzing the main li</w:t>
      </w:r>
      <w:r w:rsidR="00A778CF" w:rsidRPr="00A33FCC">
        <w:rPr>
          <w:rFonts w:ascii="Garamond" w:hAnsi="Garamond"/>
          <w:lang w:val="en-US"/>
        </w:rPr>
        <w:t>t</w:t>
      </w:r>
      <w:r w:rsidRPr="00A33FCC">
        <w:rPr>
          <w:rFonts w:ascii="Garamond" w:hAnsi="Garamond"/>
          <w:lang w:val="en-US"/>
        </w:rPr>
        <w:t>erature concerning the comparative analysis of the legal systems of different countries and the analysis of efficiency of the judicial system of each country, aims to measure the efficiency of the 165 Italian</w:t>
      </w:r>
      <w:r w:rsidRPr="00A33FCC">
        <w:rPr>
          <w:rFonts w:ascii="Garamond" w:hAnsi="Garamond"/>
          <w:lang w:val="en-US"/>
        </w:rPr>
        <w:t xml:space="preserve"> </w:t>
      </w:r>
      <w:r w:rsidRPr="00A33FCC">
        <w:rPr>
          <w:rFonts w:ascii="Garamond" w:hAnsi="Garamond"/>
          <w:lang w:val="en-US"/>
        </w:rPr>
        <w:t xml:space="preserve">courts, </w:t>
      </w:r>
      <w:r w:rsidR="008F76F3" w:rsidRPr="00A33FCC">
        <w:rPr>
          <w:rFonts w:ascii="Garamond" w:hAnsi="Garamond"/>
          <w:lang w:val="en-US"/>
        </w:rPr>
        <w:t>in the period 2003-2012</w:t>
      </w:r>
      <w:r w:rsidRPr="00A33FCC">
        <w:rPr>
          <w:rFonts w:ascii="Garamond" w:hAnsi="Garamond"/>
          <w:lang w:val="en-US"/>
        </w:rPr>
        <w:t xml:space="preserve">, and </w:t>
      </w:r>
      <w:r w:rsidR="00A778CF" w:rsidRPr="00A33FCC">
        <w:rPr>
          <w:rFonts w:ascii="Garamond" w:hAnsi="Garamond"/>
          <w:lang w:val="en-US"/>
        </w:rPr>
        <w:t xml:space="preserve">to </w:t>
      </w:r>
      <w:r w:rsidRPr="00A33FCC">
        <w:rPr>
          <w:rFonts w:ascii="Garamond" w:hAnsi="Garamond"/>
          <w:lang w:val="en-US"/>
        </w:rPr>
        <w:t>estimate an index of change in productivity.</w:t>
      </w:r>
    </w:p>
    <w:p w:rsidR="001A0645" w:rsidRPr="00A33FCC" w:rsidRDefault="001A0645" w:rsidP="001A0645">
      <w:pPr>
        <w:rPr>
          <w:rFonts w:ascii="Garamond" w:hAnsi="Garamond"/>
          <w:lang w:val="en-US"/>
        </w:rPr>
      </w:pPr>
      <w:r w:rsidRPr="00A33FCC">
        <w:rPr>
          <w:rFonts w:ascii="Garamond" w:hAnsi="Garamond"/>
          <w:lang w:val="en-US"/>
        </w:rPr>
        <w:t xml:space="preserve">To measure the efficiency </w:t>
      </w:r>
      <w:r w:rsidRPr="00A33FCC">
        <w:rPr>
          <w:rFonts w:ascii="Garamond" w:hAnsi="Garamond"/>
          <w:lang w:val="en-US"/>
        </w:rPr>
        <w:t xml:space="preserve">we use </w:t>
      </w:r>
      <w:r w:rsidRPr="00A33FCC">
        <w:rPr>
          <w:rFonts w:ascii="Garamond" w:hAnsi="Garamond"/>
          <w:lang w:val="en-US"/>
        </w:rPr>
        <w:t xml:space="preserve">a nonparametric approach, </w:t>
      </w:r>
      <w:r w:rsidR="008F76F3" w:rsidRPr="00A33FCC">
        <w:rPr>
          <w:rFonts w:ascii="Garamond" w:hAnsi="Garamond"/>
          <w:lang w:val="en-US"/>
        </w:rPr>
        <w:t>amenable</w:t>
      </w:r>
      <w:r w:rsidRPr="00A33FCC">
        <w:rPr>
          <w:rFonts w:ascii="Garamond" w:hAnsi="Garamond"/>
          <w:lang w:val="en-US"/>
        </w:rPr>
        <w:t xml:space="preserve"> to the technique DEA (Data Envelopment Analysis). With the results obtained, it will create an index of Malmquist with the objective of evaluating the performance of productivity and its components.</w:t>
      </w:r>
    </w:p>
    <w:p w:rsidR="001A0645" w:rsidRPr="00A33FCC" w:rsidRDefault="001A0645" w:rsidP="001A0645">
      <w:pPr>
        <w:rPr>
          <w:rFonts w:ascii="Garamond" w:hAnsi="Garamond"/>
          <w:lang w:val="en-US"/>
        </w:rPr>
      </w:pPr>
      <w:r w:rsidRPr="00A33FCC">
        <w:rPr>
          <w:rFonts w:ascii="Garamond" w:hAnsi="Garamond"/>
          <w:lang w:val="en-US"/>
        </w:rPr>
        <w:t>It will be finally tested the significance of some variables on the determination of productivity changes of decision units observed.</w:t>
      </w:r>
    </w:p>
    <w:p w:rsidR="001A0645" w:rsidRPr="00A33FCC" w:rsidRDefault="001A0645" w:rsidP="001A0645">
      <w:pPr>
        <w:rPr>
          <w:rFonts w:ascii="Garamond" w:hAnsi="Garamond"/>
          <w:lang w:val="en-US"/>
        </w:rPr>
      </w:pPr>
      <w:r w:rsidRPr="00A33FCC">
        <w:rPr>
          <w:rFonts w:ascii="Garamond" w:hAnsi="Garamond"/>
          <w:lang w:val="en-US"/>
        </w:rPr>
        <w:t>The results obtained show</w:t>
      </w:r>
      <w:r w:rsidR="00A778CF" w:rsidRPr="00A33FCC">
        <w:rPr>
          <w:rFonts w:ascii="Garamond" w:hAnsi="Garamond"/>
          <w:lang w:val="en-US"/>
        </w:rPr>
        <w:t xml:space="preserve">ed that the majority of </w:t>
      </w:r>
      <w:r w:rsidRPr="00A33FCC">
        <w:rPr>
          <w:rFonts w:ascii="Garamond" w:hAnsi="Garamond"/>
          <w:lang w:val="en-US"/>
        </w:rPr>
        <w:t xml:space="preserve"> </w:t>
      </w:r>
      <w:r w:rsidRPr="00A33FCC">
        <w:rPr>
          <w:rFonts w:ascii="Garamond" w:hAnsi="Garamond"/>
          <w:lang w:val="en-US"/>
        </w:rPr>
        <w:t xml:space="preserve">Italian </w:t>
      </w:r>
      <w:r w:rsidRPr="00A33FCC">
        <w:rPr>
          <w:rFonts w:ascii="Garamond" w:hAnsi="Garamond"/>
          <w:lang w:val="en-US"/>
        </w:rPr>
        <w:t xml:space="preserve">courts, in the period 2003-2012, has increasing returns scalar. In fact, most of the observations are not far from the frontier of production. This result seems to suggest that a </w:t>
      </w:r>
      <w:r w:rsidR="00A778CF" w:rsidRPr="00A33FCC">
        <w:rPr>
          <w:rFonts w:ascii="Garamond" w:hAnsi="Garamond"/>
          <w:lang w:val="en-US"/>
        </w:rPr>
        <w:t>merger</w:t>
      </w:r>
      <w:r w:rsidRPr="00A33FCC">
        <w:rPr>
          <w:rFonts w:ascii="Garamond" w:hAnsi="Garamond"/>
          <w:lang w:val="en-US"/>
        </w:rPr>
        <w:t xml:space="preserve"> of the </w:t>
      </w:r>
      <w:r w:rsidR="00483C11" w:rsidRPr="00A33FCC">
        <w:rPr>
          <w:rFonts w:ascii="Garamond" w:hAnsi="Garamond"/>
          <w:lang w:val="en-US"/>
        </w:rPr>
        <w:t>courts</w:t>
      </w:r>
      <w:r w:rsidRPr="00A33FCC">
        <w:rPr>
          <w:rFonts w:ascii="Garamond" w:hAnsi="Garamond"/>
          <w:lang w:val="en-US"/>
        </w:rPr>
        <w:t xml:space="preserve"> may not produce significant efficiency gains.</w:t>
      </w:r>
    </w:p>
    <w:p w:rsidR="001A0645" w:rsidRPr="00A33FCC" w:rsidRDefault="001A0645" w:rsidP="001A0645">
      <w:pPr>
        <w:rPr>
          <w:rFonts w:ascii="Garamond" w:hAnsi="Garamond"/>
          <w:lang w:val="en-US"/>
        </w:rPr>
      </w:pPr>
      <w:r w:rsidRPr="00A33FCC">
        <w:rPr>
          <w:rFonts w:ascii="Garamond" w:hAnsi="Garamond"/>
          <w:lang w:val="en-US"/>
        </w:rPr>
        <w:t>The analysis has also confirmed the existence of a significant relationship between changes in pr</w:t>
      </w:r>
      <w:r w:rsidRPr="00A33FCC">
        <w:rPr>
          <w:rFonts w:ascii="Garamond" w:hAnsi="Garamond"/>
          <w:lang w:val="en-US"/>
        </w:rPr>
        <w:t>oductivity and the population a</w:t>
      </w:r>
      <w:r w:rsidRPr="00A33FCC">
        <w:rPr>
          <w:rFonts w:ascii="Garamond" w:hAnsi="Garamond"/>
          <w:lang w:val="en-US"/>
        </w:rPr>
        <w:t xml:space="preserve">nd a positive relationship between changes in productivity (and its components) on the one hand, and litigation and number of lawyers from 'another. In particular, with reference to the number of lawyers to judge, higher values </w:t>
      </w:r>
      <w:r w:rsidRPr="00A33FCC">
        <w:rPr>
          <w:lang w:val="en-US"/>
        </w:rPr>
        <w:t>​​</w:t>
      </w:r>
      <w:r w:rsidRPr="00A33FCC">
        <w:rPr>
          <w:rFonts w:ascii="Garamond" w:hAnsi="Garamond"/>
          <w:lang w:val="en-US"/>
        </w:rPr>
        <w:t xml:space="preserve">of this variable influence positively the technical efficiency and the efficiency of scale, but adversely technical progress. The total net effect on changes in </w:t>
      </w:r>
      <w:r w:rsidRPr="00A33FCC">
        <w:rPr>
          <w:rFonts w:ascii="Garamond" w:hAnsi="Garamond"/>
          <w:lang w:val="en-US"/>
        </w:rPr>
        <w:lastRenderedPageBreak/>
        <w:t>productivity is positive. While these results are certainly to be explored, they show that the number of lawyers has a positive effect on competition and efficiency of justice, if there is room for improvement and the compliance program. If, instead,</w:t>
      </w:r>
      <w:r w:rsidR="00A778CF" w:rsidRPr="00A33FCC">
        <w:rPr>
          <w:rFonts w:ascii="Garamond" w:hAnsi="Garamond"/>
          <w:lang w:val="en-US"/>
        </w:rPr>
        <w:t xml:space="preserve"> the objective</w:t>
      </w:r>
      <w:r w:rsidRPr="00A33FCC">
        <w:rPr>
          <w:rFonts w:ascii="Garamond" w:hAnsi="Garamond"/>
          <w:lang w:val="en-US"/>
        </w:rPr>
        <w:t xml:space="preserve"> is to move out the production frontier, the effect of the number of lawyers is negative, probably because of the prevalence of procedural practices guided by the rent-seeking.</w:t>
      </w:r>
    </w:p>
    <w:bookmarkEnd w:id="0"/>
    <w:p w:rsidR="001A0645" w:rsidRPr="00A33FCC" w:rsidRDefault="001A0645">
      <w:pPr>
        <w:rPr>
          <w:rFonts w:ascii="Garamond" w:hAnsi="Garamond"/>
          <w:lang w:val="en-US"/>
        </w:rPr>
      </w:pPr>
    </w:p>
    <w:sectPr w:rsidR="001A0645" w:rsidRPr="00A33FC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52" w:rsidRDefault="00564A52" w:rsidP="00061627">
      <w:pPr>
        <w:spacing w:after="0" w:line="240" w:lineRule="auto"/>
      </w:pPr>
      <w:r>
        <w:separator/>
      </w:r>
    </w:p>
  </w:endnote>
  <w:endnote w:type="continuationSeparator" w:id="0">
    <w:p w:rsidR="00564A52" w:rsidRDefault="00564A52" w:rsidP="0006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52" w:rsidRDefault="00564A52" w:rsidP="00061627">
      <w:pPr>
        <w:spacing w:after="0" w:line="240" w:lineRule="auto"/>
      </w:pPr>
      <w:r>
        <w:separator/>
      </w:r>
    </w:p>
  </w:footnote>
  <w:footnote w:type="continuationSeparator" w:id="0">
    <w:p w:rsidR="00564A52" w:rsidRDefault="00564A52" w:rsidP="00061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376"/>
    <w:multiLevelType w:val="hybridMultilevel"/>
    <w:tmpl w:val="0228F8A2"/>
    <w:lvl w:ilvl="0" w:tplc="2BD26F86">
      <w:start w:val="1"/>
      <w:numFmt w:val="bullet"/>
      <w:lvlText w:val=""/>
      <w:lvlJc w:val="left"/>
      <w:pPr>
        <w:tabs>
          <w:tab w:val="num" w:pos="720"/>
        </w:tabs>
        <w:ind w:left="720" w:hanging="360"/>
      </w:pPr>
      <w:rPr>
        <w:rFonts w:ascii="Wingdings" w:hAnsi="Wingdings" w:hint="default"/>
      </w:rPr>
    </w:lvl>
    <w:lvl w:ilvl="1" w:tplc="0302BD46" w:tentative="1">
      <w:start w:val="1"/>
      <w:numFmt w:val="bullet"/>
      <w:lvlText w:val=""/>
      <w:lvlJc w:val="left"/>
      <w:pPr>
        <w:tabs>
          <w:tab w:val="num" w:pos="1440"/>
        </w:tabs>
        <w:ind w:left="1440" w:hanging="360"/>
      </w:pPr>
      <w:rPr>
        <w:rFonts w:ascii="Wingdings" w:hAnsi="Wingdings" w:hint="default"/>
      </w:rPr>
    </w:lvl>
    <w:lvl w:ilvl="2" w:tplc="E068A334" w:tentative="1">
      <w:start w:val="1"/>
      <w:numFmt w:val="bullet"/>
      <w:lvlText w:val=""/>
      <w:lvlJc w:val="left"/>
      <w:pPr>
        <w:tabs>
          <w:tab w:val="num" w:pos="2160"/>
        </w:tabs>
        <w:ind w:left="2160" w:hanging="360"/>
      </w:pPr>
      <w:rPr>
        <w:rFonts w:ascii="Wingdings" w:hAnsi="Wingdings" w:hint="default"/>
      </w:rPr>
    </w:lvl>
    <w:lvl w:ilvl="3" w:tplc="AEB4C0D8" w:tentative="1">
      <w:start w:val="1"/>
      <w:numFmt w:val="bullet"/>
      <w:lvlText w:val=""/>
      <w:lvlJc w:val="left"/>
      <w:pPr>
        <w:tabs>
          <w:tab w:val="num" w:pos="2880"/>
        </w:tabs>
        <w:ind w:left="2880" w:hanging="360"/>
      </w:pPr>
      <w:rPr>
        <w:rFonts w:ascii="Wingdings" w:hAnsi="Wingdings" w:hint="default"/>
      </w:rPr>
    </w:lvl>
    <w:lvl w:ilvl="4" w:tplc="CC2AE8DC" w:tentative="1">
      <w:start w:val="1"/>
      <w:numFmt w:val="bullet"/>
      <w:lvlText w:val=""/>
      <w:lvlJc w:val="left"/>
      <w:pPr>
        <w:tabs>
          <w:tab w:val="num" w:pos="3600"/>
        </w:tabs>
        <w:ind w:left="3600" w:hanging="360"/>
      </w:pPr>
      <w:rPr>
        <w:rFonts w:ascii="Wingdings" w:hAnsi="Wingdings" w:hint="default"/>
      </w:rPr>
    </w:lvl>
    <w:lvl w:ilvl="5" w:tplc="F2EAB06C" w:tentative="1">
      <w:start w:val="1"/>
      <w:numFmt w:val="bullet"/>
      <w:lvlText w:val=""/>
      <w:lvlJc w:val="left"/>
      <w:pPr>
        <w:tabs>
          <w:tab w:val="num" w:pos="4320"/>
        </w:tabs>
        <w:ind w:left="4320" w:hanging="360"/>
      </w:pPr>
      <w:rPr>
        <w:rFonts w:ascii="Wingdings" w:hAnsi="Wingdings" w:hint="default"/>
      </w:rPr>
    </w:lvl>
    <w:lvl w:ilvl="6" w:tplc="A120F896" w:tentative="1">
      <w:start w:val="1"/>
      <w:numFmt w:val="bullet"/>
      <w:lvlText w:val=""/>
      <w:lvlJc w:val="left"/>
      <w:pPr>
        <w:tabs>
          <w:tab w:val="num" w:pos="5040"/>
        </w:tabs>
        <w:ind w:left="5040" w:hanging="360"/>
      </w:pPr>
      <w:rPr>
        <w:rFonts w:ascii="Wingdings" w:hAnsi="Wingdings" w:hint="default"/>
      </w:rPr>
    </w:lvl>
    <w:lvl w:ilvl="7" w:tplc="149E4A3A" w:tentative="1">
      <w:start w:val="1"/>
      <w:numFmt w:val="bullet"/>
      <w:lvlText w:val=""/>
      <w:lvlJc w:val="left"/>
      <w:pPr>
        <w:tabs>
          <w:tab w:val="num" w:pos="5760"/>
        </w:tabs>
        <w:ind w:left="5760" w:hanging="360"/>
      </w:pPr>
      <w:rPr>
        <w:rFonts w:ascii="Wingdings" w:hAnsi="Wingdings" w:hint="default"/>
      </w:rPr>
    </w:lvl>
    <w:lvl w:ilvl="8" w:tplc="0FDEFEE0" w:tentative="1">
      <w:start w:val="1"/>
      <w:numFmt w:val="bullet"/>
      <w:lvlText w:val=""/>
      <w:lvlJc w:val="left"/>
      <w:pPr>
        <w:tabs>
          <w:tab w:val="num" w:pos="6480"/>
        </w:tabs>
        <w:ind w:left="6480" w:hanging="360"/>
      </w:pPr>
      <w:rPr>
        <w:rFonts w:ascii="Wingdings" w:hAnsi="Wingdings" w:hint="default"/>
      </w:rPr>
    </w:lvl>
  </w:abstractNum>
  <w:abstractNum w:abstractNumId="1">
    <w:nsid w:val="215730D8"/>
    <w:multiLevelType w:val="hybridMultilevel"/>
    <w:tmpl w:val="2B92EBF2"/>
    <w:lvl w:ilvl="0" w:tplc="62FCE672">
      <w:start w:val="1"/>
      <w:numFmt w:val="bullet"/>
      <w:lvlText w:val=""/>
      <w:lvlJc w:val="left"/>
      <w:pPr>
        <w:tabs>
          <w:tab w:val="num" w:pos="720"/>
        </w:tabs>
        <w:ind w:left="720" w:hanging="360"/>
      </w:pPr>
      <w:rPr>
        <w:rFonts w:ascii="Wingdings" w:hAnsi="Wingdings" w:hint="default"/>
      </w:rPr>
    </w:lvl>
    <w:lvl w:ilvl="1" w:tplc="63727546" w:tentative="1">
      <w:start w:val="1"/>
      <w:numFmt w:val="bullet"/>
      <w:lvlText w:val=""/>
      <w:lvlJc w:val="left"/>
      <w:pPr>
        <w:tabs>
          <w:tab w:val="num" w:pos="1440"/>
        </w:tabs>
        <w:ind w:left="1440" w:hanging="360"/>
      </w:pPr>
      <w:rPr>
        <w:rFonts w:ascii="Wingdings" w:hAnsi="Wingdings" w:hint="default"/>
      </w:rPr>
    </w:lvl>
    <w:lvl w:ilvl="2" w:tplc="79788828" w:tentative="1">
      <w:start w:val="1"/>
      <w:numFmt w:val="bullet"/>
      <w:lvlText w:val=""/>
      <w:lvlJc w:val="left"/>
      <w:pPr>
        <w:tabs>
          <w:tab w:val="num" w:pos="2160"/>
        </w:tabs>
        <w:ind w:left="2160" w:hanging="360"/>
      </w:pPr>
      <w:rPr>
        <w:rFonts w:ascii="Wingdings" w:hAnsi="Wingdings" w:hint="default"/>
      </w:rPr>
    </w:lvl>
    <w:lvl w:ilvl="3" w:tplc="DED05AB4" w:tentative="1">
      <w:start w:val="1"/>
      <w:numFmt w:val="bullet"/>
      <w:lvlText w:val=""/>
      <w:lvlJc w:val="left"/>
      <w:pPr>
        <w:tabs>
          <w:tab w:val="num" w:pos="2880"/>
        </w:tabs>
        <w:ind w:left="2880" w:hanging="360"/>
      </w:pPr>
      <w:rPr>
        <w:rFonts w:ascii="Wingdings" w:hAnsi="Wingdings" w:hint="default"/>
      </w:rPr>
    </w:lvl>
    <w:lvl w:ilvl="4" w:tplc="3E965668" w:tentative="1">
      <w:start w:val="1"/>
      <w:numFmt w:val="bullet"/>
      <w:lvlText w:val=""/>
      <w:lvlJc w:val="left"/>
      <w:pPr>
        <w:tabs>
          <w:tab w:val="num" w:pos="3600"/>
        </w:tabs>
        <w:ind w:left="3600" w:hanging="360"/>
      </w:pPr>
      <w:rPr>
        <w:rFonts w:ascii="Wingdings" w:hAnsi="Wingdings" w:hint="default"/>
      </w:rPr>
    </w:lvl>
    <w:lvl w:ilvl="5" w:tplc="51C41E86" w:tentative="1">
      <w:start w:val="1"/>
      <w:numFmt w:val="bullet"/>
      <w:lvlText w:val=""/>
      <w:lvlJc w:val="left"/>
      <w:pPr>
        <w:tabs>
          <w:tab w:val="num" w:pos="4320"/>
        </w:tabs>
        <w:ind w:left="4320" w:hanging="360"/>
      </w:pPr>
      <w:rPr>
        <w:rFonts w:ascii="Wingdings" w:hAnsi="Wingdings" w:hint="default"/>
      </w:rPr>
    </w:lvl>
    <w:lvl w:ilvl="6" w:tplc="719C0278" w:tentative="1">
      <w:start w:val="1"/>
      <w:numFmt w:val="bullet"/>
      <w:lvlText w:val=""/>
      <w:lvlJc w:val="left"/>
      <w:pPr>
        <w:tabs>
          <w:tab w:val="num" w:pos="5040"/>
        </w:tabs>
        <w:ind w:left="5040" w:hanging="360"/>
      </w:pPr>
      <w:rPr>
        <w:rFonts w:ascii="Wingdings" w:hAnsi="Wingdings" w:hint="default"/>
      </w:rPr>
    </w:lvl>
    <w:lvl w:ilvl="7" w:tplc="1F5C7EDA" w:tentative="1">
      <w:start w:val="1"/>
      <w:numFmt w:val="bullet"/>
      <w:lvlText w:val=""/>
      <w:lvlJc w:val="left"/>
      <w:pPr>
        <w:tabs>
          <w:tab w:val="num" w:pos="5760"/>
        </w:tabs>
        <w:ind w:left="5760" w:hanging="360"/>
      </w:pPr>
      <w:rPr>
        <w:rFonts w:ascii="Wingdings" w:hAnsi="Wingdings" w:hint="default"/>
      </w:rPr>
    </w:lvl>
    <w:lvl w:ilvl="8" w:tplc="CD8C1FD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BD"/>
    <w:rsid w:val="00061627"/>
    <w:rsid w:val="0014522C"/>
    <w:rsid w:val="00145F03"/>
    <w:rsid w:val="001A0645"/>
    <w:rsid w:val="001E40B1"/>
    <w:rsid w:val="00440A81"/>
    <w:rsid w:val="00470EF0"/>
    <w:rsid w:val="00483C11"/>
    <w:rsid w:val="00564A52"/>
    <w:rsid w:val="0060045C"/>
    <w:rsid w:val="00625A98"/>
    <w:rsid w:val="00861B4C"/>
    <w:rsid w:val="008A4CBD"/>
    <w:rsid w:val="008F76F3"/>
    <w:rsid w:val="00A33FCC"/>
    <w:rsid w:val="00A778CF"/>
    <w:rsid w:val="00AB52E6"/>
    <w:rsid w:val="00AE1D69"/>
    <w:rsid w:val="00B46E20"/>
    <w:rsid w:val="00F64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1627"/>
    <w:pPr>
      <w:spacing w:after="160" w:line="360" w:lineRule="auto"/>
      <w:contextualSpacing/>
      <w:jc w:val="both"/>
    </w:pPr>
    <w:rPr>
      <w:rFonts w:ascii="Times New Roman" w:hAnsi="Times New Roman" w:cs="Times New Roman"/>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6162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061627"/>
    <w:rPr>
      <w:rFonts w:ascii="Times New Roman" w:hAnsi="Times New Roman" w:cs="Times New Roman"/>
      <w:sz w:val="20"/>
      <w:szCs w:val="20"/>
    </w:rPr>
  </w:style>
  <w:style w:type="character" w:styleId="Rimandonotaapidipagina">
    <w:name w:val="footnote reference"/>
    <w:basedOn w:val="Carpredefinitoparagrafo"/>
    <w:uiPriority w:val="99"/>
    <w:unhideWhenUsed/>
    <w:rsid w:val="00061627"/>
    <w:rPr>
      <w:vertAlign w:val="superscript"/>
    </w:rPr>
  </w:style>
  <w:style w:type="paragraph" w:styleId="NormaleWeb">
    <w:name w:val="Normal (Web)"/>
    <w:basedOn w:val="Normale"/>
    <w:uiPriority w:val="99"/>
    <w:semiHidden/>
    <w:unhideWhenUsed/>
    <w:rsid w:val="00AE1D69"/>
    <w:pPr>
      <w:spacing w:before="100" w:beforeAutospacing="1" w:after="100" w:afterAutospacing="1" w:line="240" w:lineRule="auto"/>
      <w:contextualSpacing w:val="0"/>
      <w:jc w:val="left"/>
    </w:pPr>
    <w:rPr>
      <w:rFonts w:eastAsia="Times New Roman"/>
      <w:sz w:val="24"/>
      <w:szCs w:val="24"/>
      <w:lang w:eastAsia="it-IT"/>
    </w:rPr>
  </w:style>
  <w:style w:type="paragraph" w:styleId="Paragrafoelenco">
    <w:name w:val="List Paragraph"/>
    <w:basedOn w:val="Normale"/>
    <w:uiPriority w:val="34"/>
    <w:qFormat/>
    <w:rsid w:val="00145F03"/>
    <w:pPr>
      <w:spacing w:after="0" w:line="240" w:lineRule="auto"/>
      <w:ind w:left="720"/>
      <w:jc w:val="left"/>
    </w:pPr>
    <w:rPr>
      <w:rFonts w:eastAsia="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1627"/>
    <w:pPr>
      <w:spacing w:after="160" w:line="360" w:lineRule="auto"/>
      <w:contextualSpacing/>
      <w:jc w:val="both"/>
    </w:pPr>
    <w:rPr>
      <w:rFonts w:ascii="Times New Roman" w:hAnsi="Times New Roman" w:cs="Times New Roman"/>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6162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061627"/>
    <w:rPr>
      <w:rFonts w:ascii="Times New Roman" w:hAnsi="Times New Roman" w:cs="Times New Roman"/>
      <w:sz w:val="20"/>
      <w:szCs w:val="20"/>
    </w:rPr>
  </w:style>
  <w:style w:type="character" w:styleId="Rimandonotaapidipagina">
    <w:name w:val="footnote reference"/>
    <w:basedOn w:val="Carpredefinitoparagrafo"/>
    <w:uiPriority w:val="99"/>
    <w:unhideWhenUsed/>
    <w:rsid w:val="00061627"/>
    <w:rPr>
      <w:vertAlign w:val="superscript"/>
    </w:rPr>
  </w:style>
  <w:style w:type="paragraph" w:styleId="NormaleWeb">
    <w:name w:val="Normal (Web)"/>
    <w:basedOn w:val="Normale"/>
    <w:uiPriority w:val="99"/>
    <w:semiHidden/>
    <w:unhideWhenUsed/>
    <w:rsid w:val="00AE1D69"/>
    <w:pPr>
      <w:spacing w:before="100" w:beforeAutospacing="1" w:after="100" w:afterAutospacing="1" w:line="240" w:lineRule="auto"/>
      <w:contextualSpacing w:val="0"/>
      <w:jc w:val="left"/>
    </w:pPr>
    <w:rPr>
      <w:rFonts w:eastAsia="Times New Roman"/>
      <w:sz w:val="24"/>
      <w:szCs w:val="24"/>
      <w:lang w:eastAsia="it-IT"/>
    </w:rPr>
  </w:style>
  <w:style w:type="paragraph" w:styleId="Paragrafoelenco">
    <w:name w:val="List Paragraph"/>
    <w:basedOn w:val="Normale"/>
    <w:uiPriority w:val="34"/>
    <w:qFormat/>
    <w:rsid w:val="00145F03"/>
    <w:pPr>
      <w:spacing w:after="0" w:line="240" w:lineRule="auto"/>
      <w:ind w:left="720"/>
      <w:jc w:val="left"/>
    </w:pPr>
    <w:rPr>
      <w:rFonts w:eastAsia="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5157">
      <w:bodyDiv w:val="1"/>
      <w:marLeft w:val="0"/>
      <w:marRight w:val="0"/>
      <w:marTop w:val="0"/>
      <w:marBottom w:val="0"/>
      <w:divBdr>
        <w:top w:val="none" w:sz="0" w:space="0" w:color="auto"/>
        <w:left w:val="none" w:sz="0" w:space="0" w:color="auto"/>
        <w:bottom w:val="none" w:sz="0" w:space="0" w:color="auto"/>
        <w:right w:val="none" w:sz="0" w:space="0" w:color="auto"/>
      </w:divBdr>
    </w:div>
    <w:div w:id="1219904464">
      <w:bodyDiv w:val="1"/>
      <w:marLeft w:val="0"/>
      <w:marRight w:val="0"/>
      <w:marTop w:val="0"/>
      <w:marBottom w:val="0"/>
      <w:divBdr>
        <w:top w:val="none" w:sz="0" w:space="0" w:color="auto"/>
        <w:left w:val="none" w:sz="0" w:space="0" w:color="auto"/>
        <w:bottom w:val="none" w:sz="0" w:space="0" w:color="auto"/>
        <w:right w:val="none" w:sz="0" w:space="0" w:color="auto"/>
      </w:divBdr>
      <w:divsChild>
        <w:div w:id="118843411">
          <w:marLeft w:val="446"/>
          <w:marRight w:val="0"/>
          <w:marTop w:val="0"/>
          <w:marBottom w:val="0"/>
          <w:divBdr>
            <w:top w:val="none" w:sz="0" w:space="0" w:color="auto"/>
            <w:left w:val="none" w:sz="0" w:space="0" w:color="auto"/>
            <w:bottom w:val="none" w:sz="0" w:space="0" w:color="auto"/>
            <w:right w:val="none" w:sz="0" w:space="0" w:color="auto"/>
          </w:divBdr>
        </w:div>
      </w:divsChild>
    </w:div>
    <w:div w:id="1338196502">
      <w:bodyDiv w:val="1"/>
      <w:marLeft w:val="0"/>
      <w:marRight w:val="0"/>
      <w:marTop w:val="0"/>
      <w:marBottom w:val="0"/>
      <w:divBdr>
        <w:top w:val="none" w:sz="0" w:space="0" w:color="auto"/>
        <w:left w:val="none" w:sz="0" w:space="0" w:color="auto"/>
        <w:bottom w:val="none" w:sz="0" w:space="0" w:color="auto"/>
        <w:right w:val="none" w:sz="0" w:space="0" w:color="auto"/>
      </w:divBdr>
      <w:divsChild>
        <w:div w:id="1891650273">
          <w:marLeft w:val="446"/>
          <w:marRight w:val="0"/>
          <w:marTop w:val="0"/>
          <w:marBottom w:val="0"/>
          <w:divBdr>
            <w:top w:val="none" w:sz="0" w:space="0" w:color="auto"/>
            <w:left w:val="none" w:sz="0" w:space="0" w:color="auto"/>
            <w:bottom w:val="none" w:sz="0" w:space="0" w:color="auto"/>
            <w:right w:val="none" w:sz="0" w:space="0" w:color="auto"/>
          </w:divBdr>
        </w:div>
        <w:div w:id="1396974536">
          <w:marLeft w:val="446"/>
          <w:marRight w:val="0"/>
          <w:marTop w:val="0"/>
          <w:marBottom w:val="0"/>
          <w:divBdr>
            <w:top w:val="none" w:sz="0" w:space="0" w:color="auto"/>
            <w:left w:val="none" w:sz="0" w:space="0" w:color="auto"/>
            <w:bottom w:val="none" w:sz="0" w:space="0" w:color="auto"/>
            <w:right w:val="none" w:sz="0" w:space="0" w:color="auto"/>
          </w:divBdr>
        </w:div>
      </w:divsChild>
    </w:div>
    <w:div w:id="1495027043">
      <w:bodyDiv w:val="1"/>
      <w:marLeft w:val="0"/>
      <w:marRight w:val="0"/>
      <w:marTop w:val="0"/>
      <w:marBottom w:val="0"/>
      <w:divBdr>
        <w:top w:val="none" w:sz="0" w:space="0" w:color="auto"/>
        <w:left w:val="none" w:sz="0" w:space="0" w:color="auto"/>
        <w:bottom w:val="none" w:sz="0" w:space="0" w:color="auto"/>
        <w:right w:val="none" w:sz="0" w:space="0" w:color="auto"/>
      </w:divBdr>
      <w:divsChild>
        <w:div w:id="13741189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817</Words>
  <Characters>4659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14</cp:revision>
  <dcterms:created xsi:type="dcterms:W3CDTF">2015-05-28T22:01:00Z</dcterms:created>
  <dcterms:modified xsi:type="dcterms:W3CDTF">2015-05-28T23:01:00Z</dcterms:modified>
</cp:coreProperties>
</file>