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03986" w14:textId="504BE500" w:rsidR="00134F55" w:rsidRPr="00134F55" w:rsidRDefault="00134F55" w:rsidP="00134F55">
      <w:pPr>
        <w:spacing w:after="200" w:line="276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kern w:val="20"/>
          <w:sz w:val="48"/>
          <w:szCs w:val="48"/>
          <w:lang w:eastAsia="en-US"/>
        </w:rPr>
      </w:pPr>
      <w:r w:rsidRPr="00134F55">
        <w:rPr>
          <w:rFonts w:ascii="Times New Roman" w:eastAsia="Calibri" w:hAnsi="Times New Roman" w:cs="Times New Roman"/>
          <w:b/>
          <w:kern w:val="20"/>
          <w:sz w:val="48"/>
          <w:szCs w:val="48"/>
          <w:lang w:eastAsia="en-US"/>
        </w:rPr>
        <w:t>Abstract</w:t>
      </w:r>
    </w:p>
    <w:p w14:paraId="0A9D21D8" w14:textId="77777777" w:rsidR="00134F55" w:rsidRPr="00134F55" w:rsidRDefault="00134F55" w:rsidP="00134F5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48"/>
          <w:szCs w:val="48"/>
          <w:lang w:eastAsia="en-US"/>
        </w:rPr>
      </w:pPr>
    </w:p>
    <w:p w14:paraId="49282413" w14:textId="77777777" w:rsidR="00134F55" w:rsidRPr="00134F55" w:rsidRDefault="00134F55" w:rsidP="00134F5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48"/>
          <w:szCs w:val="48"/>
          <w:lang w:eastAsia="en-US"/>
        </w:rPr>
      </w:pPr>
    </w:p>
    <w:p w14:paraId="23FCC71E" w14:textId="77777777" w:rsidR="00134F55" w:rsidRPr="00134F55" w:rsidRDefault="00134F55" w:rsidP="00134F5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48"/>
          <w:szCs w:val="48"/>
          <w:lang w:eastAsia="en-US"/>
        </w:rPr>
      </w:pPr>
    </w:p>
    <w:p w14:paraId="336F980D" w14:textId="77777777" w:rsidR="00134F55" w:rsidRPr="00134F55" w:rsidRDefault="00134F55" w:rsidP="00134F5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48"/>
          <w:szCs w:val="48"/>
          <w:lang w:eastAsia="en-US"/>
        </w:rPr>
      </w:pPr>
    </w:p>
    <w:p w14:paraId="4A3732A9" w14:textId="64AB5DC9" w:rsidR="00134F55" w:rsidRPr="00134F55" w:rsidRDefault="00134F55" w:rsidP="00134F5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</w:pP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In questo lavoro di tesi è presentata una nuova applicazione OLED viol</w:t>
      </w:r>
      <w:r w:rsidR="0067506A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a su larga area per il settore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 orticoltura, che combina in un unico dispositivo l’emissione di luce rossa e blu.</w:t>
      </w:r>
    </w:p>
    <w:p w14:paraId="77F352AB" w14:textId="5F5FD040" w:rsidR="00134F55" w:rsidRPr="00134F55" w:rsidRDefault="00134F55" w:rsidP="005E06E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</w:pP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Lo scopo principale della tesi è quello di dimostrare l’efficacia della struttura proposta tramite l’utilizzo di modelli teorici sviluppati durante i tre anni di attività di dottorato e applicati ai materiali commerciali.</w:t>
      </w:r>
    </w:p>
    <w:p w14:paraId="4CB772DD" w14:textId="7D49CE53" w:rsidR="00134F55" w:rsidRPr="00134F55" w:rsidRDefault="00134F55" w:rsidP="00134F5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</w:pP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Il cuore di questa dissertazione è il terzo capitolo, in cui il lettore è portato</w:t>
      </w:r>
      <w:r w:rsidR="005E06E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,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 dopo diversi esperimenti</w:t>
      </w:r>
      <w:r w:rsidR="005E06E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,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 all’ottimizzazione finale de</w:t>
      </w:r>
      <w:r w:rsidR="005E06E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lla struttura di un OLED viola; suddetti esperimenti 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confermano sia i concetti base esposti nei due capitoli precedenti, sia un mo</w:t>
      </w:r>
      <w:r w:rsidR="005E06E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dello matematico utilizzato per 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l’ottimizzazione dello strato per l’emissione del blu.</w:t>
      </w:r>
    </w:p>
    <w:p w14:paraId="34BE7528" w14:textId="71A63F11" w:rsidR="00134F55" w:rsidRPr="00134F55" w:rsidRDefault="00134F55" w:rsidP="00134F5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</w:pP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Dietro alla struttura proposta del dispositivo c’è il concetto di “hybrid OLEDs with triplet harvesting</w:t>
      </w:r>
      <w:r w:rsidR="004B522E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”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, in cui un appropriato uso combinato di materiali fluorescenti e fosforescenti permette un’efficienza quantica teorica del 100%.</w:t>
      </w:r>
    </w:p>
    <w:p w14:paraId="09A15674" w14:textId="77777777" w:rsidR="00134F55" w:rsidRPr="00134F55" w:rsidRDefault="00134F55" w:rsidP="00134F5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</w:pP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L’ultimo capitolo si focalizza sullo studio e realizzazione di griglie metalliche sull’ossido di Indio-stagno (ITO), il materiale trasparente e conduttivo più usato come anodo dei dispositivi OLED.</w:t>
      </w:r>
    </w:p>
    <w:p w14:paraId="40A5B9BA" w14:textId="5D082DE5" w:rsidR="00134F55" w:rsidRPr="00134F55" w:rsidRDefault="00134F55" w:rsidP="005E06E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</w:pP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Nonostante l’ITO possieda ottime caratteristiche di trasparenza, a causa di una limitata conducibilità, si ha una caduta del potenziale applicato lungo tutto il contatto di anodo, impedendo </w:t>
      </w:r>
      <w:r w:rsidR="005E06E5"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un’emissione di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 luce omogenea quando le dimensioni del dispositivo sup</w:t>
      </w:r>
      <w:r w:rsidR="00432C58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erano qualche centimetro quadro</w:t>
      </w:r>
      <w:r w:rsidR="005E06E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; al fine di superare 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questo problema è stato presenta</w:t>
      </w:r>
      <w:r w:rsidR="005E06E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to un nuovo modello matematico, 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che a differenza dei più attestati modelli di letteratura, porta in conto sia l’influenza elett</w:t>
      </w:r>
      <w:r w:rsidR="005E06E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rica della griglia metallica , sia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 quella dell’ITO sottostante.</w:t>
      </w:r>
    </w:p>
    <w:p w14:paraId="30D2FA8D" w14:textId="77777777" w:rsidR="00134F55" w:rsidRPr="00134F55" w:rsidRDefault="00134F55" w:rsidP="00134F5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</w:pP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Infine, con una buona accordanza con i dati sperimentali, è stato usato un modello teorico per predire il comportamento ottico ed elettrico di diverse griglie metalliche esagonali su ITO.</w:t>
      </w:r>
    </w:p>
    <w:p w14:paraId="28E2AEDE" w14:textId="01EB4471" w:rsidR="00134F55" w:rsidRPr="00134F55" w:rsidRDefault="00134F55" w:rsidP="00134F55">
      <w:pPr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</w:pP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Vale la pena sottolineare che tutte gli approcci teorici e sperimentali implementati in questo lavoro hanno una vali</w:t>
      </w:r>
      <w:r w:rsidR="005E06E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dità generale; infatti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 tutto il Know-How di questa tesi è stato usato con successo</w:t>
      </w:r>
      <w:r w:rsidR="005E06E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 negli ultimi tre anni per 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ottenere diversi disposit</w:t>
      </w:r>
      <w:r w:rsidR="005E06E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ivi OLED</w:t>
      </w:r>
      <w:r w:rsidR="00E67D86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>:</w:t>
      </w:r>
      <w:bookmarkStart w:id="0" w:name="_GoBack"/>
      <w:bookmarkEnd w:id="0"/>
      <w:r w:rsidR="005E06E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 </w:t>
      </w:r>
      <w:r w:rsidRPr="00134F55">
        <w:rPr>
          <w:rFonts w:ascii="Times New Roman" w:eastAsia="Calibri" w:hAnsi="Times New Roman" w:cs="Times New Roman"/>
          <w:kern w:val="20"/>
          <w:sz w:val="22"/>
          <w:szCs w:val="22"/>
          <w:lang w:eastAsia="en-US"/>
        </w:rPr>
        <w:t xml:space="preserve">diversi per emissione di colore, dimensioni e prestazioni.  </w:t>
      </w:r>
    </w:p>
    <w:p w14:paraId="70EB28AE" w14:textId="22708797" w:rsidR="00672EB1" w:rsidRPr="00134F55" w:rsidRDefault="00672EB1"/>
    <w:p w14:paraId="08849C2B" w14:textId="77777777" w:rsidR="00672EB1" w:rsidRPr="00134F55" w:rsidRDefault="00672EB1"/>
    <w:sectPr w:rsidR="00672EB1" w:rsidRPr="00134F55" w:rsidSect="00134F55">
      <w:pgSz w:w="11900" w:h="16840"/>
      <w:pgMar w:top="2835" w:right="340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B1"/>
    <w:rsid w:val="00134F55"/>
    <w:rsid w:val="001E0779"/>
    <w:rsid w:val="00432C58"/>
    <w:rsid w:val="004B522E"/>
    <w:rsid w:val="005E06E5"/>
    <w:rsid w:val="006578C5"/>
    <w:rsid w:val="00672EB1"/>
    <w:rsid w:val="0067506A"/>
    <w:rsid w:val="006B14BB"/>
    <w:rsid w:val="006E33EB"/>
    <w:rsid w:val="007D482E"/>
    <w:rsid w:val="008D0803"/>
    <w:rsid w:val="009A346D"/>
    <w:rsid w:val="00AE3D95"/>
    <w:rsid w:val="00B456D3"/>
    <w:rsid w:val="00C93955"/>
    <w:rsid w:val="00DC70FC"/>
    <w:rsid w:val="00E67D86"/>
    <w:rsid w:val="00E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88D7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57574E78-564C-B54C-BE56-02BEE6BE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Aprano</dc:creator>
  <cp:keywords/>
  <dc:description/>
  <cp:lastModifiedBy>Salvatore Aprano</cp:lastModifiedBy>
  <cp:revision>8</cp:revision>
  <dcterms:created xsi:type="dcterms:W3CDTF">2017-04-12T19:16:00Z</dcterms:created>
  <dcterms:modified xsi:type="dcterms:W3CDTF">2017-04-12T19:40:00Z</dcterms:modified>
</cp:coreProperties>
</file>